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370" w:rsidRDefault="00DA3370" w:rsidP="00DA3370">
      <w:pPr>
        <w:spacing w:after="240" w:line="300" w:lineRule="atLeast"/>
        <w:rPr>
          <w:rFonts w:ascii="Arial" w:hAnsi="Arial" w:cs="Arial"/>
          <w:color w:val="1C283D"/>
          <w:sz w:val="15"/>
          <w:szCs w:val="15"/>
        </w:rPr>
      </w:pPr>
      <w:r>
        <w:rPr>
          <w:rFonts w:ascii="Arial" w:hAnsi="Arial" w:cs="Arial"/>
          <w:color w:val="1C283D"/>
          <w:sz w:val="15"/>
          <w:szCs w:val="15"/>
        </w:rPr>
        <w:t>Resmi Gazete Tarihi: 18.01.2013 Resmi Gazete Sayısı: 28532</w:t>
      </w:r>
    </w:p>
    <w:p w:rsidR="00DA3370" w:rsidRDefault="00DA3370" w:rsidP="00DA3370">
      <w:pPr>
        <w:spacing w:before="56" w:after="0" w:line="240" w:lineRule="atLeast"/>
        <w:jc w:val="center"/>
        <w:rPr>
          <w:color w:val="1C283D"/>
        </w:rPr>
      </w:pPr>
      <w:r>
        <w:rPr>
          <w:rFonts w:ascii="Times New Roman" w:hAnsi="Times New Roman"/>
          <w:b/>
          <w:bCs/>
          <w:color w:val="1C283D"/>
          <w:sz w:val="20"/>
          <w:szCs w:val="20"/>
        </w:rPr>
        <w:t>İŞ SAĞLIĞI VE GÜVENLİĞİ KURULLARI HAKKINDA YÖNETMELİK</w:t>
      </w:r>
    </w:p>
    <w:p w:rsidR="00DA3370" w:rsidRDefault="00DA3370" w:rsidP="00DA3370">
      <w:pPr>
        <w:spacing w:after="0" w:line="240" w:lineRule="atLeast"/>
        <w:jc w:val="center"/>
        <w:rPr>
          <w:color w:val="1C283D"/>
        </w:rPr>
      </w:pPr>
      <w:r>
        <w:rPr>
          <w:rFonts w:ascii="Times New Roman" w:hAnsi="Times New Roman"/>
          <w:b/>
          <w:bCs/>
          <w:color w:val="1C283D"/>
          <w:sz w:val="20"/>
          <w:szCs w:val="20"/>
        </w:rPr>
        <w:t> </w:t>
      </w:r>
    </w:p>
    <w:p w:rsidR="00DA3370" w:rsidRDefault="00DA3370" w:rsidP="00DA3370">
      <w:pPr>
        <w:spacing w:after="0" w:line="240" w:lineRule="atLeast"/>
        <w:jc w:val="center"/>
        <w:rPr>
          <w:color w:val="1C283D"/>
        </w:rPr>
      </w:pPr>
      <w:r>
        <w:rPr>
          <w:rFonts w:ascii="Times New Roman" w:hAnsi="Times New Roman"/>
          <w:b/>
          <w:bCs/>
          <w:color w:val="1C283D"/>
          <w:sz w:val="20"/>
          <w:szCs w:val="20"/>
        </w:rPr>
        <w:t>BİRİNCİ BÖLÜM</w:t>
      </w:r>
    </w:p>
    <w:p w:rsidR="00DA3370" w:rsidRDefault="00DA3370" w:rsidP="00DA3370">
      <w:pPr>
        <w:spacing w:after="0" w:line="240" w:lineRule="atLeast"/>
        <w:jc w:val="center"/>
        <w:rPr>
          <w:color w:val="1C283D"/>
        </w:rPr>
      </w:pPr>
      <w:r>
        <w:rPr>
          <w:rFonts w:ascii="Times New Roman" w:hAnsi="Times New Roman"/>
          <w:b/>
          <w:bCs/>
          <w:color w:val="1C283D"/>
          <w:sz w:val="20"/>
          <w:szCs w:val="20"/>
        </w:rPr>
        <w:t>Amaç, Kapsam, Dayanak ve Tanımlar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Amaç</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1 –</w:t>
      </w:r>
      <w:r>
        <w:rPr>
          <w:rFonts w:ascii="Times New Roman" w:hAnsi="Times New Roman"/>
          <w:color w:val="1C283D"/>
          <w:sz w:val="20"/>
          <w:szCs w:val="20"/>
        </w:rPr>
        <w:t xml:space="preserve"> (1) Bu Yönetmeliğin amacı, iş sağlığı ve güvenliği ile ilgili çalışmalarda bulunmak üzere iş sağlığı ve güvenliği kurullarının hangi işyerlerinde kurulacağı ve bu kurulların oluşumu, görev ve yetkileri, çalışma usul ve esasları ile birden çok kurul bulunması halinde kurullar arasında koordinasyon ve işbirliği yöntemlerini belirlemektir.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Kapsam</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2 –</w:t>
      </w:r>
      <w:r>
        <w:rPr>
          <w:rFonts w:ascii="Times New Roman" w:hAnsi="Times New Roman"/>
          <w:color w:val="1C283D"/>
          <w:sz w:val="20"/>
          <w:szCs w:val="20"/>
        </w:rPr>
        <w:t xml:space="preserve"> (1) Bu Yönetmelik, 20/6/2012 tarihli ve 6331 sayılı İş Sağlığı ve Güvenliği Kanunu kapsamına giren, elli ve daha fazla çalışanın bulunduğu ve altı aydan fazla süren sürekli işlerin yapıldığı işyerlerini kapsar.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Dayanak ve tanımlar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 xml:space="preserve">MADDE 3 – </w:t>
      </w:r>
      <w:r>
        <w:rPr>
          <w:rFonts w:ascii="Times New Roman" w:hAnsi="Times New Roman"/>
          <w:color w:val="1C283D"/>
          <w:sz w:val="20"/>
          <w:szCs w:val="20"/>
        </w:rPr>
        <w:t>(1) Bu Yönetmelik, 6331 sayılı İş Sağlığı ve Güvenliği Kanununun 22 ve 30 uncu maddelerine göre düzenlenmiştir.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Bu Yönetmeliğin uygulanması bakımından çalışan, işveren, kurul ve çalışan temsilcisi ve benzeri kavramlar 6331 sayılı İş Sağlığı ve Güvenliği Kanununda tanımlandığı gibidir.</w:t>
      </w:r>
    </w:p>
    <w:p w:rsidR="00DA3370" w:rsidRDefault="00DA3370" w:rsidP="00DA3370">
      <w:pPr>
        <w:spacing w:before="56" w:after="0" w:line="240" w:lineRule="atLeast"/>
        <w:jc w:val="center"/>
        <w:rPr>
          <w:color w:val="1C283D"/>
        </w:rPr>
      </w:pPr>
      <w:r>
        <w:rPr>
          <w:rFonts w:ascii="Times New Roman" w:hAnsi="Times New Roman"/>
          <w:b/>
          <w:bCs/>
          <w:color w:val="1C283D"/>
          <w:sz w:val="20"/>
          <w:szCs w:val="20"/>
        </w:rPr>
        <w:t>İKİNCİ BÖLÜM</w:t>
      </w:r>
    </w:p>
    <w:p w:rsidR="00DA3370" w:rsidRDefault="00DA3370" w:rsidP="00DA3370">
      <w:pPr>
        <w:spacing w:after="56" w:line="240" w:lineRule="atLeast"/>
        <w:jc w:val="center"/>
        <w:rPr>
          <w:color w:val="1C283D"/>
        </w:rPr>
      </w:pPr>
      <w:r>
        <w:rPr>
          <w:rFonts w:ascii="Times New Roman" w:hAnsi="Times New Roman"/>
          <w:b/>
          <w:bCs/>
          <w:color w:val="1C283D"/>
          <w:sz w:val="20"/>
          <w:szCs w:val="20"/>
        </w:rPr>
        <w:t>Genel Hükümler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İşverenin yükümlülüğü</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4 –</w:t>
      </w:r>
      <w:r>
        <w:rPr>
          <w:rFonts w:ascii="Times New Roman" w:hAnsi="Times New Roman"/>
          <w:color w:val="1C283D"/>
          <w:sz w:val="20"/>
          <w:szCs w:val="20"/>
        </w:rPr>
        <w:t xml:space="preserve"> (1) Elli ve daha fazla çalışanın bulunduğu ve altı aydan fazla süren sürekli işlerin yapıldığı işyerlerinde işveren, iş sağlığı ve güvenliği ile ilgili çalışmalarda bulunmak üzere kurul oluşturur.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Altı aydan fazla süren asıl işveren-alt işveren ilişkisinin bulunduğu hallerde;</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a) Asıl işveren alt işverenin çalışan sayıları ayrı ayrı elli ve daha fazla ise asıl işveren ve alt işveren ayrı ayrı kurul kurar. İş sağlığı ve güvenliği faaliyetlerinin yürütülmesi ve kurullarca alınan kararların uygulanması konusunda işbirliği ve koordinasyon asıl işverence sağlanır.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b) Bir işyerinde sadece asıl işverenin çalışan sayısı elli ve daha fazla ise bu durumda kurul asıl işverence kurulur. Kurul oluşturma yükümlülüğü bulunmayan alt işveren, kurul tarafından alınan kararların uygulanması ile ilgili olarak koordinasyonu sağlamak üzere vekâleten yetkili bir temsilci atar.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c) Alt işverenin çalışan sayısı elli ve daha fazla, asıl işverenin çalışan sayısı ellinin altında ise işyerinde kurul alt işverence oluşturulur. Asıl işveren alt işverenin oluşturduğu kurula işbirliği ve koordinasyonu sağlamak üzere vekâleten yetkili bir temsilci atar.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ç) Asıl işveren ve alt işverenin çalışan sayıları ayrı ayrı ellinin altında ve toplam çalışan sayısı elliden fazla bulunduğu durumlarda ise koordinasyon asıl işverence yapılmak kaydıyla, asıl işveren ve alt işveren tarafından birlikte bir kurul oluşturulur. Kurulun oluşumunda üyeler 6 ncı maddeye göre her iki işverenin ortak kararı ile atanır.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(3) Asıl işveren alt işveren ilişkisi bulunmayan ve aynı çalışma alanında birden fazla işverenin bulunması ve bu işverenlerce birden fazla kurulun oluşturulması hâlinde işverenler, birbirlerinin çalışmalarını etkileyebilecek kurul kararları hakkında diğer işverenleri bilgilendirir.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(4) İşverenler, iş sağlığı ve güvenliği mevzuatına uygun kurul kararlarını uygular.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Kurulun kurulacağı diğer işyerleri</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5 –</w:t>
      </w:r>
      <w:r>
        <w:rPr>
          <w:rFonts w:ascii="Times New Roman" w:hAnsi="Times New Roman"/>
          <w:color w:val="1C283D"/>
          <w:sz w:val="20"/>
          <w:szCs w:val="20"/>
        </w:rPr>
        <w:t xml:space="preserve"> (1) İşverene bağlı, fabrika, müessese, işletme veya işletmeler grubu gibi birden çok işyeri bulunduğu hallerde elli ve daha fazla çalışanın bulunduğu her bir işyerinde ayrı ayrı kurul kurulur.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Birinci fıkrada belirtilen durumlarda ihtiyaç duyulması halinde kurullar arasında koordinasyon ve bilgi alış verişi işverence sağlanır. İşveren, birden çok işyerinin her birinde kurulacak kurulların çalışma usullerini düzenlemek, iş ve görüş birliğini sağlamak amacıyla bu işyerlerine ait iş sağlığı ve güvenliği ile ilgili raporların, en az üç ayda bir, ilgili teknik eleman ve uzmanlarca incelenmesini sağlar. Ayrıca bu raporları göz önünde tutarak alınması gereken tedbirleri tespit eder ve uygulanmasını sağlar.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Kurulun oluşumu</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6 –</w:t>
      </w:r>
      <w:r>
        <w:rPr>
          <w:rFonts w:ascii="Times New Roman" w:hAnsi="Times New Roman"/>
          <w:color w:val="1C283D"/>
          <w:sz w:val="20"/>
          <w:szCs w:val="20"/>
        </w:rPr>
        <w:t xml:space="preserve"> (1) Kurul aşağıda belirtilen kişilerden oluşur: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a) İşveren veya işveren vekili,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b) İş güvenliği uzmanı,</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c) İşyeri hekimi,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ç) İnsan kaynakları, personel, sosyal işler veya idari ve mali işleri yürütmekle görevli bir kişi,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lastRenderedPageBreak/>
        <w:t>d) Bulunması halinde sivil savunma uzmanı,</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e) Bulunması halinde formen, ustabaşı veya usta,</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f) Çalışan temsilcisi, işyerinde birden çok çalışan temsilcisi olması halinde baş temsilci.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Kurulun başkanı işveren veya işveren vekili, kurulun sekreteri ise iş güvenliği uzmanıdır. İş güvenliği uzmanının tam zamanlı çalışma zorunluluğu olmayan işyerlerinde ise kurul sekretaryası; insan kaynakları, personel, sosyal işler veya idari ve mali işleri yürütmekle görevli bir kişi tarafından yürütülür.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(3) Bu maddenin birinci fıkrasının (b), (c), (ç) ve (d) bentlerinde gösterilen üyeler işveren veya işveren vekili tarafından atanırlar.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(4) Birden fazla iş güvenliği uzmanı ve işyeri hekiminin bulunduğu işyerlerinde işveren tarafından görevlendirme yapılır. İş güvenliği uzmanının görevlendirilmesinde o işyerinin tehlike sınıfına uygun uzmanlar arasından birisi görevlendirilir.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(5) Bu maddenin birinci fıkrasının (e) bendinde belirtilen üye o işyerindeki formen, ustabaşı veya ustaların yarıdan fazlasının katılacağı toplantıda açık oyla seçilir. Seçimle belirlenememesi halinde işveren tarafından atanır.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(6) Bu maddenin birinci fıkrasının (e) ve (f) bentlerinde sözü geçen kurul üyelerinin aynı usullerle yedekleri seçilir.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(7) 4 üncü maddenin ikinci fıkrasının (ç) bendine göre kurulacak kurullarda üyeler ve kurul sekreteri asıl işveren ve alt işveren tarafından ortak kararla atanır.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Eğitim</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 xml:space="preserve">MADDE 7 – </w:t>
      </w:r>
      <w:r>
        <w:rPr>
          <w:rFonts w:ascii="Times New Roman" w:hAnsi="Times New Roman"/>
          <w:color w:val="1C283D"/>
          <w:sz w:val="20"/>
          <w:szCs w:val="20"/>
        </w:rPr>
        <w:t>(1) İşveren tarafından, kurulun üyelerine ve yedeklerine iş sağlığı ve güvenliği konularında eğitim verilmesi sağlanır. Kurul üyelerinin ve yedeklerinin eğitimleri asgari aşağıdaki konuları kapsar;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a) Kurulun görev ve yetkileri,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b) İş sağlığı ve güvenliği konularında ulusal mevzuat ve standartlar,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c) Sıkça rastlanan iş kazaları ve tehlikeli vakaların nedenleri,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ç) İş hijyeninin temel ilkeleri,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d) İletişim teknikleri,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e) Acil durum önlemleri,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f) Meslek hastalıkları,</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g) İşyerlerine ait özel riskler,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ğ) Risk değerlendirmesi.</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Asıl işveren alt işveren ilişkilerinde ortak kurul oluşumunda eğitimden her iki işveren birlikte sorumludur.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Görev ve yetkiler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8 –</w:t>
      </w:r>
      <w:r>
        <w:rPr>
          <w:rFonts w:ascii="Times New Roman" w:hAnsi="Times New Roman"/>
          <w:color w:val="1C283D"/>
          <w:sz w:val="20"/>
          <w:szCs w:val="20"/>
        </w:rPr>
        <w:t xml:space="preserve"> (1) Kurulun görev ve yetkileri şunlardır;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a) İşyerinin niteliğine uygun bir iş sağlığı ve güvenliği iç yönerge taslağı hazırlamak, işverenin veya işveren vekilinin onayına sunmak ve yönergenin uygulanmasını izlemek, izleme sonuçlarını rapor haline getirip alınması gereken tedbirleri belirlemek ve kurul gündemine almak,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b) İş sağlığı ve güvenliği konularında o işyerinde çalışanlara yol göstermek,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c) İşyerinde iş sağlığı ve güvenliğine ilişkin tehlikeleri ve önlemleri değerlendirmek, tedbirleri belirlemek, işveren veya işveren vekiline bildirimde bulunmak,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ç) İşyerinde meydana gelen her iş kazası ve işyerinde meydana gelen ancak iş kazası olarak değerlendirilmeyen işyeri ya da iş ekipmanının zarara uğratma potansiyeli olan olayları veya meslek hastalığında yahut iş sağlığı ve güvenliği ile ilgili bir tehlike halinde gerekli araştırma ve incelemeyi yapmak, alınması gereken tedbirleri bir raporla tespit ederek işveren veya işveren vekiline vermek,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d) İşyerinde iş sağlığı ve güvenliği eğitim ve öğretimini planlamak, bu konu ve kurallarla ilgili programları hazırlamak, işveren veya işveren vekilinin onayına sunmak ve bu programların uygulanmasını izlemek ve eksiklik görülmesi halinde geri bildirimde bulunmak,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e) İşyerinde yapılacak bakım ve onarım çalışmalarında gerekli güvenlik tedbirlerini planlamak ve bu tedbirlerin uygulamalarını kontrol etmek,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f) İşyerinde yangın, doğal afet, sabotaj ve benzeri tehlikeler için alınan tedbirlerin yeterliliğini ve ekiplerin çalışmalarını izlemek,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g) İşyerinin iş sağlığı ve güvenliği durumuyla ilgili yıllık bir rapor hazırlamak, o yılki çalışmaları değerlendirmek, elde edilen tecrübeye göre ertesi yılın çalışma programında yer alacak hususları değerlendirerek belirlemek ve işverene teklifte bulunmak,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ğ) 6331 sayılı İş Sağlığı ve Güvenliği Kanununun 13 üncü maddesinde belirtilen çalışmaktan kaçınma hakkı talepleri ile ilgili acilen toplanarak karar vermek,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h) İşyerinde teknoloji, iş organizasyonu, çalışma şartları, sosyal ilişkiler ve çalışma ortamı ile ilgili faktörlerin etkilerini kapsayan tutarlı ve genel bir önleme politikası geliştirmeye yönelik çalışmalar yapmak.</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lastRenderedPageBreak/>
        <w:t>(2) Kurul üyeleri bu Yönetmelikle kendilerine verilen görevleri yapmalarından dolayı hakları kısıtlanamaz, kötü davranış ve muameleye maruz kalamazlar.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Çalışma usulleri</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 xml:space="preserve">MADDE 9 – </w:t>
      </w:r>
      <w:r>
        <w:rPr>
          <w:rFonts w:ascii="Times New Roman" w:hAnsi="Times New Roman"/>
          <w:color w:val="1C283D"/>
          <w:sz w:val="20"/>
          <w:szCs w:val="20"/>
        </w:rPr>
        <w:t>(1) Kurul inceleme, izleme ve uyarmayı öngören bir düzen içinde ve aşağıdaki esasları göz önünde bulundurarak çalışır.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a) Kurullar ayda en az bir kere toplanır. Ancak kurul, işyerinin tehlike sınıfını dikkate alarak, tehlikeli işyerlerinde bu sürenin iki ay, az tehlikeli işyerlerinde ise üç ay olarak belirlenmesine karar verebilir.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b) Toplantının gündemi, yeri, günü ve saati toplantıdan en az kırk sekiz saat önce kurul üyelerine bildirilir. Gündem, sorunların ve varsa iş sağlığı ve güvenliğine ilişkin projelerin önem sırasına göre belirlenir. Kurul üyeleri gündemde değişiklik isteyebilirler. Bu istek kurulca uygun görüldüğünde gündem buna göre değiştirilir.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c) Ölümlü, uzuv kayıplı veya ağır iş kazası halleri veya özel bir tedbiri gerektiren önemli hallerde kurul üyelerinden herhangi biri kurulu olağanüstü toplantıya çağırabilir. Bu konudaki tekliflerin kurul başkanına veya sekreterine yapılması gerekir. Toplantı zamanı, konunun ivedilik ve önemine göre tespit olunur.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ç) Kurul toplantılarının günlük çalışma saatleri içinde yapılması asıldır. Kurulun toplantılarında geçecek süreler günlük çalışma süresinden sayılır.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d) Kurul, üye tam sayısının salt çoğunluğu ile işveren veya işveren vekili başkanlığında toplanır ve katılanların salt çoğunluğu ile karar alır. Çekimser oy kullanılamaz. Oyların eşitliği halinde başkanın oyu kararı belirler. Çoğunluğun sağlanamadığı veya başka bir nedenle toplantının yapılmadığı hallerde durumu belirten bir tutanak düzenlenir.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e) Her toplantıda, görüşülen konularla ilgili alınan kararları içeren bir tutanak düzenlenir. Tutanak, toplantıya katılan başkan ve üyeler tarafından imzalanır. İmza altına alınan kararlar herhangi bir işleme gerek kalmaksızın işverene bildirilmiş sayılır. İmzalı tutanak ve kararlar sırasıyla özel dosyasında saklanır.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f) Toplantıda alınan kararlar gereği yapılmak üzere ilgililere duyurulur. Ayrıca çalışanlara duyurulması faydalı görülen konular işyerinde ilân edilir.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g) Her toplantıda, önceki toplantıya ilişkin kararlar ve bunlarla ilgili uygulamalar hakkında başkan veya kurulun sekreteri tarafından kurula gerekli bilgi verilir ve gündeme geçilir.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Kurulca işyerinde ilân edilen kararlar işverenleri ve çalışanları bağlar.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(3) Kurul, 6331 sayılı İş Sağlığı ve Güvenliği Kanununun 13 üncü maddesinde belirtilen çalışmaktan kaçınma hakkı taleplerinde birinci fıkranın (a) bendine göre belirlenen süre dikkate alınmaksızın acilen toplanır. Toplantıda alınan karar çalışan ve çalışan temsilcisine yazılı olarak tebliğ edilir.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İşverenin veya işveren vekilinin kurula ilişkin genel yükümlülüğü</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10 –</w:t>
      </w:r>
      <w:r>
        <w:rPr>
          <w:rFonts w:ascii="Times New Roman" w:hAnsi="Times New Roman"/>
          <w:color w:val="1C283D"/>
          <w:sz w:val="20"/>
          <w:szCs w:val="20"/>
        </w:rPr>
        <w:t xml:space="preserve"> (1) İşveren veya işveren vekili, kurul için gerekli toplantı yeri, araç ve gereçleri sağlar.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İşveren veya işveren vekili, kurulca hazırlanan toplantı tutanaklarını, kaza ve diğer vakaların inceleme raporlarını ve kurulca işyerinde yapılan denetim sonuçlarına ait kurul raporlarını, iş müfettişlerinin incelemesini sağlamak amacıyla, işyerinde bulundurur.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Kurulun yükümlülüğü</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 xml:space="preserve">MADDE 11 – </w:t>
      </w:r>
      <w:r>
        <w:rPr>
          <w:rFonts w:ascii="Times New Roman" w:hAnsi="Times New Roman"/>
          <w:color w:val="1C283D"/>
          <w:sz w:val="20"/>
          <w:szCs w:val="20"/>
        </w:rPr>
        <w:t>(1) Kurullar, yapacakları tekliflerde, bulunacakları tavsiyelerde ve verecekleri kararlarda işyerinin durumunu ve işverenin olanaklarını göz önünde bulundururlar.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Kurul üyeleri, görevleri nedeniyle işyerlerinin yapım ve üretim teknikleri, ticari sırları ve ekonomik durumları hakkında gördükleri ve öğrendiklerini gizli tutmak zorundadırlar.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(3) Kurullar, iş sağlığı ve güvenliği yönünden teftiş yapmaya yetkili Bakanlık iş müfettişlerine işyerlerinde yapacakları teftiş ve incelemelerde kolaylık sağlamak ve yardımcı olmakla yükümlüdür.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Çalışanların yükümlülüğü</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12 –</w:t>
      </w:r>
      <w:r>
        <w:rPr>
          <w:rFonts w:ascii="Times New Roman" w:hAnsi="Times New Roman"/>
          <w:color w:val="1C283D"/>
          <w:sz w:val="20"/>
          <w:szCs w:val="20"/>
        </w:rPr>
        <w:t xml:space="preserve"> (1) Çalışanlar sağlık ve güvenliğin korunması ve geliştirilmesi amacıyla iş sağlığı ve güvenliği kurullarınca konulan kurallar, yasaklar ile alınan karar ve tedbirlere uymak zorundadırlar.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İşyerinde iş sağlığı ve güvenliği tedbirlerinin belirlenmesi, uygulanması ve alınan tedbirlere uyulması hususunda çalışanlar kurullarla işbirliği yaparlar.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(3) Kurullar tarafından alınan kararlar veya uygulamada karşılaştıkları güçlükler hakkında çalışanlar çalışan temsilcileri aracılığı ile kurula bilgi verirler.</w:t>
      </w:r>
    </w:p>
    <w:p w:rsidR="00DA3370" w:rsidRDefault="00DA3370" w:rsidP="00DA3370">
      <w:pPr>
        <w:spacing w:before="56" w:after="0" w:line="240" w:lineRule="atLeast"/>
        <w:jc w:val="center"/>
        <w:rPr>
          <w:color w:val="1C283D"/>
        </w:rPr>
      </w:pPr>
      <w:r>
        <w:rPr>
          <w:rFonts w:ascii="Times New Roman" w:hAnsi="Times New Roman"/>
          <w:b/>
          <w:bCs/>
          <w:color w:val="1C283D"/>
          <w:sz w:val="20"/>
          <w:szCs w:val="20"/>
        </w:rPr>
        <w:t>ÜÇÜNCÜ BÖLÜM</w:t>
      </w:r>
    </w:p>
    <w:p w:rsidR="00DA3370" w:rsidRDefault="00DA3370" w:rsidP="00DA3370">
      <w:pPr>
        <w:spacing w:after="56" w:line="240" w:lineRule="atLeast"/>
        <w:jc w:val="center"/>
        <w:rPr>
          <w:color w:val="1C283D"/>
        </w:rPr>
      </w:pPr>
      <w:r>
        <w:rPr>
          <w:rFonts w:ascii="Times New Roman" w:hAnsi="Times New Roman"/>
          <w:b/>
          <w:bCs/>
          <w:color w:val="1C283D"/>
          <w:sz w:val="20"/>
          <w:szCs w:val="20"/>
        </w:rPr>
        <w:t>Son Hükümler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Yürürlükten kaldırılan mevzuat</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MADDE 13 –</w:t>
      </w:r>
      <w:r>
        <w:rPr>
          <w:rFonts w:ascii="Times New Roman" w:hAnsi="Times New Roman"/>
          <w:color w:val="1C283D"/>
          <w:sz w:val="20"/>
          <w:szCs w:val="20"/>
        </w:rPr>
        <w:t xml:space="preserve"> (1) 7/4/2004 tarihli ve 25426 sayılı Resmî Gazete’de yayımlanan İş Sağlığı ve Güvenliği Kurulları Hakkında Yönetmelik yürürlükten kaldırılmıştır.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Geçiş hükmü</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lastRenderedPageBreak/>
        <w:t>GEÇİCİ MADDE 1 –</w:t>
      </w:r>
      <w:r>
        <w:rPr>
          <w:rFonts w:ascii="Times New Roman" w:hAnsi="Times New Roman"/>
          <w:color w:val="1C283D"/>
          <w:sz w:val="20"/>
          <w:szCs w:val="20"/>
        </w:rPr>
        <w:t xml:space="preserve"> (1) 6 ncı madde uyarınca oluşturulacak kurulda, mezkûr maddenin birinci fıkrasının (b) ve (c) bentlerinde sayılanların bulundurulma zorunluluğu Kanunun 38 inci maddesinde belirtilen sürelere uygun olarak aranır.</w:t>
      </w:r>
    </w:p>
    <w:p w:rsidR="00DA3370" w:rsidRDefault="00DA3370" w:rsidP="00DA3370">
      <w:pPr>
        <w:spacing w:after="0" w:line="240" w:lineRule="atLeast"/>
        <w:ind w:firstLine="566"/>
        <w:jc w:val="both"/>
        <w:rPr>
          <w:color w:val="1C283D"/>
        </w:rPr>
      </w:pPr>
      <w:r>
        <w:rPr>
          <w:rFonts w:ascii="Times New Roman" w:hAnsi="Times New Roman"/>
          <w:color w:val="1C283D"/>
          <w:sz w:val="20"/>
          <w:szCs w:val="20"/>
        </w:rPr>
        <w:t>(2) Bu Yönetmeliğin yayımı tarihinden önce işyerlerinde oluşturulmuş olan iş sağlığı ve güvenliği kurullarınca alınan kararların geçerliliği devam eder.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Yürürlük</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 xml:space="preserve">MADDE 14 – </w:t>
      </w:r>
      <w:r>
        <w:rPr>
          <w:rFonts w:ascii="Times New Roman" w:hAnsi="Times New Roman"/>
          <w:color w:val="1C283D"/>
          <w:sz w:val="20"/>
          <w:szCs w:val="20"/>
        </w:rPr>
        <w:t>(1) Bu Yönetmelik yayımı tarihinde yürürlüğe girer.</w:t>
      </w:r>
    </w:p>
    <w:p w:rsidR="00DA3370" w:rsidRDefault="00DA3370" w:rsidP="00DA3370">
      <w:pPr>
        <w:spacing w:after="0" w:line="240" w:lineRule="atLeast"/>
        <w:ind w:firstLine="566"/>
        <w:jc w:val="both"/>
        <w:rPr>
          <w:color w:val="1C283D"/>
        </w:rPr>
      </w:pPr>
      <w:r>
        <w:rPr>
          <w:rFonts w:ascii="Times New Roman" w:hAnsi="Times New Roman"/>
          <w:b/>
          <w:bCs/>
          <w:color w:val="1C283D"/>
          <w:sz w:val="20"/>
          <w:szCs w:val="20"/>
        </w:rPr>
        <w:t>Yürütme</w:t>
      </w:r>
    </w:p>
    <w:p w:rsidR="002C3C3A" w:rsidRDefault="00DA3370" w:rsidP="00DA3370">
      <w:r>
        <w:rPr>
          <w:rFonts w:ascii="Times New Roman" w:hAnsi="Times New Roman"/>
          <w:b/>
          <w:bCs/>
          <w:color w:val="1C283D"/>
          <w:sz w:val="20"/>
          <w:szCs w:val="20"/>
        </w:rPr>
        <w:t>MADDE 15 –</w:t>
      </w:r>
      <w:r>
        <w:rPr>
          <w:rFonts w:ascii="Times New Roman" w:hAnsi="Times New Roman"/>
          <w:color w:val="1C283D"/>
          <w:sz w:val="20"/>
          <w:szCs w:val="20"/>
        </w:rPr>
        <w:t xml:space="preserve"> (1) Bu Yönetmelik hükümlerini Çalışma ve Sosyal Güvenlik Bakanı yürütür.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70"/>
    <w:rsid w:val="00880D51"/>
    <w:rsid w:val="00A22235"/>
    <w:rsid w:val="00DA33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0513D-B665-49A3-9912-67E63AC7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70"/>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05690">
      <w:bodyDiv w:val="1"/>
      <w:marLeft w:val="0"/>
      <w:marRight w:val="0"/>
      <w:marTop w:val="0"/>
      <w:marBottom w:val="0"/>
      <w:divBdr>
        <w:top w:val="none" w:sz="0" w:space="0" w:color="auto"/>
        <w:left w:val="none" w:sz="0" w:space="0" w:color="auto"/>
        <w:bottom w:val="none" w:sz="0" w:space="0" w:color="auto"/>
        <w:right w:val="none" w:sz="0" w:space="0" w:color="auto"/>
      </w:divBdr>
      <w:divsChild>
        <w:div w:id="438333312">
          <w:marLeft w:val="0"/>
          <w:marRight w:val="0"/>
          <w:marTop w:val="100"/>
          <w:marBottom w:val="100"/>
          <w:divBdr>
            <w:top w:val="none" w:sz="0" w:space="0" w:color="auto"/>
            <w:left w:val="none" w:sz="0" w:space="0" w:color="auto"/>
            <w:bottom w:val="none" w:sz="0" w:space="0" w:color="auto"/>
            <w:right w:val="none" w:sz="0" w:space="0" w:color="auto"/>
          </w:divBdr>
          <w:divsChild>
            <w:div w:id="1615208818">
              <w:marLeft w:val="0"/>
              <w:marRight w:val="0"/>
              <w:marTop w:val="0"/>
              <w:marBottom w:val="0"/>
              <w:divBdr>
                <w:top w:val="none" w:sz="0" w:space="0" w:color="auto"/>
                <w:left w:val="none" w:sz="0" w:space="0" w:color="auto"/>
                <w:bottom w:val="none" w:sz="0" w:space="0" w:color="auto"/>
                <w:right w:val="none" w:sz="0" w:space="0" w:color="auto"/>
              </w:divBdr>
              <w:divsChild>
                <w:div w:id="30421592">
                  <w:marLeft w:val="0"/>
                  <w:marRight w:val="0"/>
                  <w:marTop w:val="0"/>
                  <w:marBottom w:val="0"/>
                  <w:divBdr>
                    <w:top w:val="none" w:sz="0" w:space="0" w:color="auto"/>
                    <w:left w:val="none" w:sz="0" w:space="0" w:color="auto"/>
                    <w:bottom w:val="none" w:sz="0" w:space="0" w:color="auto"/>
                    <w:right w:val="none" w:sz="0" w:space="0" w:color="auto"/>
                  </w:divBdr>
                  <w:divsChild>
                    <w:div w:id="11598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1971</Words>
  <Characters>11237</Characters>
  <Application>Microsoft Office Word</Application>
  <DocSecurity>0</DocSecurity>
  <Lines>93</Lines>
  <Paragraphs>26</Paragraphs>
  <ScaleCrop>false</ScaleCrop>
  <Company/>
  <LinksUpToDate>false</LinksUpToDate>
  <CharactersWithSpaces>13182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2017-01-13T10:13:00Z</dcterms:created>
  <dcterms:modified xsi:type="dcterms:W3CDTF">2017-01-13T10:13:00Z</dcterms:modified>
</cp:coreProperties>
</file>