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18" w:rsidRDefault="00D61D18" w:rsidP="00D61D18">
      <w:pPr>
        <w:spacing w:after="240" w:line="300" w:lineRule="atLeast"/>
        <w:rPr>
          <w:rFonts w:ascii="Arial" w:hAnsi="Arial" w:cs="Arial"/>
          <w:color w:val="1C283D"/>
          <w:sz w:val="15"/>
          <w:szCs w:val="15"/>
        </w:rPr>
      </w:pPr>
      <w:r>
        <w:rPr>
          <w:rFonts w:ascii="Arial" w:hAnsi="Arial" w:cs="Arial"/>
          <w:color w:val="1C283D"/>
          <w:sz w:val="15"/>
          <w:szCs w:val="15"/>
        </w:rPr>
        <w:t>Resmi Gazete Tarihi: 05.07.2013 Resmi Gazete Sayısı: 28698</w:t>
      </w:r>
    </w:p>
    <w:p w:rsidR="00D61D18" w:rsidRDefault="00D61D18" w:rsidP="00D61D18">
      <w:pPr>
        <w:spacing w:line="240" w:lineRule="atLeast"/>
        <w:ind w:firstLine="567"/>
        <w:jc w:val="center"/>
        <w:rPr>
          <w:color w:val="1C283D"/>
        </w:rPr>
      </w:pPr>
      <w:r>
        <w:rPr>
          <w:b/>
          <w:bCs/>
          <w:color w:val="1C283D"/>
        </w:rPr>
        <w:t>HİJYEN EĞİTİMİ YÖNETMELİĞİ</w:t>
      </w:r>
    </w:p>
    <w:p w:rsidR="00D61D18" w:rsidRDefault="00D61D18" w:rsidP="00D61D18">
      <w:pPr>
        <w:spacing w:line="240" w:lineRule="atLeast"/>
        <w:ind w:firstLine="567"/>
        <w:jc w:val="center"/>
        <w:rPr>
          <w:color w:val="1C283D"/>
        </w:rPr>
      </w:pPr>
      <w:r>
        <w:rPr>
          <w:b/>
          <w:bCs/>
          <w:color w:val="1C283D"/>
        </w:rPr>
        <w:t> </w:t>
      </w:r>
    </w:p>
    <w:p w:rsidR="00D61D18" w:rsidRDefault="00D61D18" w:rsidP="00D61D18">
      <w:pPr>
        <w:spacing w:line="240" w:lineRule="atLeast"/>
        <w:ind w:firstLine="567"/>
        <w:jc w:val="center"/>
        <w:rPr>
          <w:color w:val="1C283D"/>
        </w:rPr>
      </w:pPr>
      <w:r>
        <w:rPr>
          <w:b/>
          <w:bCs/>
          <w:color w:val="1C283D"/>
        </w:rPr>
        <w:t>BİRİNCİ BÖLÜM</w:t>
      </w:r>
    </w:p>
    <w:p w:rsidR="00D61D18" w:rsidRDefault="00D61D18" w:rsidP="00D61D18">
      <w:pPr>
        <w:spacing w:line="240" w:lineRule="atLeast"/>
        <w:ind w:firstLine="567"/>
        <w:jc w:val="center"/>
        <w:rPr>
          <w:color w:val="1C283D"/>
        </w:rPr>
      </w:pPr>
      <w:r>
        <w:rPr>
          <w:b/>
          <w:bCs/>
          <w:color w:val="1C283D"/>
        </w:rPr>
        <w:t>Amaç, Kapsam, Dayanak ve Tanımlar</w:t>
      </w:r>
    </w:p>
    <w:p w:rsidR="00D61D18" w:rsidRDefault="00D61D18" w:rsidP="00D61D18">
      <w:pPr>
        <w:spacing w:line="240" w:lineRule="atLeast"/>
        <w:ind w:firstLine="567"/>
        <w:jc w:val="center"/>
        <w:rPr>
          <w:color w:val="1C283D"/>
        </w:rPr>
      </w:pPr>
      <w:r>
        <w:rPr>
          <w:color w:val="1C283D"/>
        </w:rPr>
        <w:t> </w:t>
      </w:r>
    </w:p>
    <w:p w:rsidR="00D61D18" w:rsidRDefault="00D61D18" w:rsidP="00D61D18">
      <w:pPr>
        <w:spacing w:line="240" w:lineRule="atLeast"/>
        <w:ind w:firstLine="567"/>
        <w:jc w:val="both"/>
        <w:rPr>
          <w:color w:val="1C283D"/>
        </w:rPr>
      </w:pPr>
      <w:r>
        <w:rPr>
          <w:b/>
          <w:bCs/>
          <w:color w:val="1C283D"/>
        </w:rPr>
        <w:t>Amaç</w:t>
      </w:r>
    </w:p>
    <w:p w:rsidR="00D61D18" w:rsidRDefault="00D61D18" w:rsidP="00D61D18">
      <w:pPr>
        <w:spacing w:line="240" w:lineRule="atLeast"/>
        <w:ind w:firstLine="567"/>
        <w:jc w:val="both"/>
        <w:rPr>
          <w:color w:val="1C283D"/>
        </w:rPr>
      </w:pPr>
      <w:r>
        <w:rPr>
          <w:b/>
          <w:bCs/>
          <w:color w:val="1C283D"/>
        </w:rPr>
        <w:t>MADDE 1 –</w:t>
      </w:r>
      <w:r>
        <w:rPr>
          <w:color w:val="1C283D"/>
        </w:rPr>
        <w:t xml:space="preserve"> (1) Bu Yönetmeliğin amacı; gıda üretim ve perakende iş yerlerinde, insani tüketim amaçlı sular ile doğal mineralli suları üreten iş yerlerinde ve insan bedenine temasın söz konusu olduğu temizlik hizmetlerinin verildiği iş yerlerinde çalışanlara yönelik </w:t>
      </w:r>
      <w:proofErr w:type="gramStart"/>
      <w:r>
        <w:rPr>
          <w:color w:val="1C283D"/>
        </w:rPr>
        <w:t>hijyen</w:t>
      </w:r>
      <w:proofErr w:type="gramEnd"/>
      <w:r>
        <w:rPr>
          <w:color w:val="1C283D"/>
        </w:rPr>
        <w:t xml:space="preserve"> eğitimi programlarının planlanmasına, eğitimlerin verilmesine, iş yeri sahibinin, işletenlerin ve çalışanların bu konudaki sorumluluklarına, bu iş yerlerinde çalışmaya engel bulaşıcı hastalıkların ve cilt hastalıklarının belirlenmesine ve bu hastalıkların iyileşme hâlinin tespitine ilişkin usul ve esasları belirlemektir.</w:t>
      </w:r>
    </w:p>
    <w:p w:rsidR="00D61D18" w:rsidRDefault="00D61D18" w:rsidP="00D61D18">
      <w:pPr>
        <w:spacing w:line="240" w:lineRule="atLeast"/>
        <w:ind w:firstLine="567"/>
        <w:jc w:val="both"/>
        <w:rPr>
          <w:color w:val="1C283D"/>
        </w:rPr>
      </w:pPr>
      <w:r>
        <w:rPr>
          <w:b/>
          <w:bCs/>
          <w:color w:val="1C283D"/>
        </w:rPr>
        <w:t>Kapsam</w:t>
      </w:r>
    </w:p>
    <w:p w:rsidR="00D61D18" w:rsidRDefault="00D61D18" w:rsidP="00D61D18">
      <w:pPr>
        <w:spacing w:line="240" w:lineRule="atLeast"/>
        <w:ind w:firstLine="567"/>
        <w:jc w:val="both"/>
        <w:rPr>
          <w:color w:val="1C283D"/>
        </w:rPr>
      </w:pPr>
      <w:r>
        <w:rPr>
          <w:b/>
          <w:bCs/>
          <w:color w:val="1C283D"/>
        </w:rPr>
        <w:t>MADDE 2 –</w:t>
      </w:r>
      <w:r>
        <w:rPr>
          <w:color w:val="1C283D"/>
        </w:rPr>
        <w:t xml:space="preserve"> (1) Bu Yönetmelik aşağıda belirtilen iş kollarını kapsar:</w:t>
      </w:r>
    </w:p>
    <w:p w:rsidR="00D61D18" w:rsidRDefault="00D61D18" w:rsidP="00D61D18">
      <w:pPr>
        <w:spacing w:line="240" w:lineRule="atLeast"/>
        <w:ind w:firstLine="567"/>
        <w:jc w:val="both"/>
        <w:rPr>
          <w:color w:val="1C283D"/>
        </w:rPr>
      </w:pPr>
      <w:r>
        <w:rPr>
          <w:color w:val="1C283D"/>
        </w:rPr>
        <w:t>a) Gıda üretim ve perakende iş yerleri.</w:t>
      </w:r>
    </w:p>
    <w:p w:rsidR="00D61D18" w:rsidRDefault="00D61D18" w:rsidP="00D61D18">
      <w:pPr>
        <w:spacing w:line="240" w:lineRule="atLeast"/>
        <w:ind w:firstLine="567"/>
        <w:jc w:val="both"/>
        <w:rPr>
          <w:color w:val="1C283D"/>
        </w:rPr>
      </w:pPr>
      <w:r>
        <w:rPr>
          <w:color w:val="1C283D"/>
        </w:rPr>
        <w:t>b) İnsani tüketim amaçlı sular ile doğal mineralli suların üretimini yapan iş yerleri.</w:t>
      </w:r>
    </w:p>
    <w:p w:rsidR="00D61D18" w:rsidRDefault="00D61D18" w:rsidP="00D61D18">
      <w:pPr>
        <w:spacing w:line="240" w:lineRule="atLeast"/>
        <w:ind w:firstLine="567"/>
        <w:jc w:val="both"/>
        <w:rPr>
          <w:color w:val="1C283D"/>
        </w:rPr>
      </w:pPr>
      <w:r>
        <w:rPr>
          <w:color w:val="1C283D"/>
        </w:rPr>
        <w:t xml:space="preserve">c) Kaplıca, hamam, sauna, berber, kuaför, dövme ve </w:t>
      </w:r>
      <w:proofErr w:type="spellStart"/>
      <w:r>
        <w:rPr>
          <w:color w:val="1C283D"/>
        </w:rPr>
        <w:t>pirsing</w:t>
      </w:r>
      <w:proofErr w:type="spellEnd"/>
      <w:r>
        <w:rPr>
          <w:color w:val="1C283D"/>
        </w:rPr>
        <w:t xml:space="preserve"> yapılan yerler, masaj ve güzellik salonları ve benzeri yerler.</w:t>
      </w:r>
    </w:p>
    <w:p w:rsidR="00D61D18" w:rsidRDefault="00D61D18" w:rsidP="00D61D18">
      <w:pPr>
        <w:spacing w:line="240" w:lineRule="atLeast"/>
        <w:ind w:firstLine="567"/>
        <w:jc w:val="both"/>
        <w:rPr>
          <w:color w:val="1C283D"/>
        </w:rPr>
      </w:pPr>
      <w:r>
        <w:rPr>
          <w:color w:val="1C283D"/>
        </w:rPr>
        <w:t>ç) Otel, motel, pansiyon ve misafirhane gibi yerler.</w:t>
      </w:r>
    </w:p>
    <w:p w:rsidR="00D61D18" w:rsidRDefault="00D61D18" w:rsidP="00D61D18">
      <w:pPr>
        <w:spacing w:line="240" w:lineRule="atLeast"/>
        <w:ind w:firstLine="567"/>
        <w:jc w:val="both"/>
        <w:rPr>
          <w:color w:val="1C283D"/>
        </w:rPr>
      </w:pPr>
      <w:r>
        <w:rPr>
          <w:color w:val="1C283D"/>
        </w:rPr>
        <w:t xml:space="preserve">d) Komisyon tarafından </w:t>
      </w:r>
      <w:proofErr w:type="gramStart"/>
      <w:r>
        <w:rPr>
          <w:color w:val="1C283D"/>
        </w:rPr>
        <w:t>hijyen</w:t>
      </w:r>
      <w:proofErr w:type="gramEnd"/>
      <w:r>
        <w:rPr>
          <w:color w:val="1C283D"/>
        </w:rPr>
        <w:t xml:space="preserve"> eğitimi verilmesi uygun görülen diğer iş kolları.</w:t>
      </w:r>
    </w:p>
    <w:p w:rsidR="00D61D18" w:rsidRDefault="00D61D18" w:rsidP="00D61D18">
      <w:pPr>
        <w:spacing w:line="240" w:lineRule="atLeast"/>
        <w:ind w:firstLine="567"/>
        <w:jc w:val="both"/>
        <w:rPr>
          <w:color w:val="1C283D"/>
        </w:rPr>
      </w:pPr>
      <w:r>
        <w:rPr>
          <w:color w:val="1C283D"/>
        </w:rPr>
        <w:t xml:space="preserve">(2) Bu Yönetmelik, </w:t>
      </w:r>
      <w:proofErr w:type="gramStart"/>
      <w:r>
        <w:rPr>
          <w:color w:val="1C283D"/>
        </w:rPr>
        <w:t>11/6/2010</w:t>
      </w:r>
      <w:proofErr w:type="gramEnd"/>
      <w:r>
        <w:rPr>
          <w:color w:val="1C283D"/>
        </w:rPr>
        <w:t xml:space="preserve"> tarihli ve 5996 sayılı Veteriner Hizmetleri, Bitki Sağlığı, Gıda ve Yem Kanunu kapsamındaki iş yerlerinde çalışan kişiler için mecburi olan gıda hijyeni eğitim konularını kapsamaz.</w:t>
      </w:r>
    </w:p>
    <w:p w:rsidR="00D61D18" w:rsidRDefault="00D61D18" w:rsidP="00D61D18">
      <w:pPr>
        <w:spacing w:line="240" w:lineRule="atLeast"/>
        <w:ind w:firstLine="567"/>
        <w:jc w:val="both"/>
        <w:rPr>
          <w:color w:val="1C283D"/>
        </w:rPr>
      </w:pPr>
      <w:r>
        <w:rPr>
          <w:b/>
          <w:bCs/>
          <w:color w:val="1C283D"/>
        </w:rPr>
        <w:t>Dayanak</w:t>
      </w:r>
    </w:p>
    <w:p w:rsidR="00D61D18" w:rsidRDefault="00D61D18" w:rsidP="00D61D18">
      <w:pPr>
        <w:spacing w:line="240" w:lineRule="atLeast"/>
        <w:ind w:firstLine="567"/>
        <w:jc w:val="both"/>
        <w:rPr>
          <w:color w:val="1C283D"/>
        </w:rPr>
      </w:pPr>
      <w:r>
        <w:rPr>
          <w:b/>
          <w:bCs/>
          <w:color w:val="1C283D"/>
        </w:rPr>
        <w:t>MADDE 3 –</w:t>
      </w:r>
      <w:r>
        <w:rPr>
          <w:color w:val="1C283D"/>
        </w:rPr>
        <w:t xml:space="preserve"> (1) Bu Yönetmelik, </w:t>
      </w:r>
      <w:proofErr w:type="gramStart"/>
      <w:r>
        <w:rPr>
          <w:color w:val="1C283D"/>
        </w:rPr>
        <w:t>24/4/1930</w:t>
      </w:r>
      <w:proofErr w:type="gramEnd"/>
      <w:r>
        <w:rPr>
          <w:color w:val="1C283D"/>
        </w:rPr>
        <w:t xml:space="preserve"> tarihli ve 1593 sayılı Umumi Hıfzıssıhha Kanununun 127 </w:t>
      </w:r>
      <w:proofErr w:type="spellStart"/>
      <w:r>
        <w:rPr>
          <w:color w:val="1C283D"/>
        </w:rPr>
        <w:t>nci</w:t>
      </w:r>
      <w:proofErr w:type="spellEnd"/>
      <w:r>
        <w:rPr>
          <w:color w:val="1C283D"/>
        </w:rPr>
        <w:t xml:space="preserve"> maddesine dayanılarak hazırlanmıştır.</w:t>
      </w:r>
    </w:p>
    <w:p w:rsidR="00D61D18" w:rsidRDefault="00D61D18" w:rsidP="00D61D18">
      <w:pPr>
        <w:spacing w:line="240" w:lineRule="atLeast"/>
        <w:ind w:firstLine="567"/>
        <w:jc w:val="both"/>
        <w:rPr>
          <w:color w:val="1C283D"/>
        </w:rPr>
      </w:pPr>
      <w:r>
        <w:rPr>
          <w:b/>
          <w:bCs/>
          <w:color w:val="1C283D"/>
        </w:rPr>
        <w:t>Tanımlar</w:t>
      </w:r>
    </w:p>
    <w:p w:rsidR="00D61D18" w:rsidRDefault="00D61D18" w:rsidP="00D61D18">
      <w:pPr>
        <w:spacing w:line="240" w:lineRule="atLeast"/>
        <w:ind w:firstLine="567"/>
        <w:jc w:val="both"/>
        <w:rPr>
          <w:color w:val="1C283D"/>
        </w:rPr>
      </w:pPr>
      <w:r>
        <w:rPr>
          <w:b/>
          <w:bCs/>
          <w:color w:val="1C283D"/>
        </w:rPr>
        <w:t>MADDE 4 –</w:t>
      </w:r>
      <w:r>
        <w:rPr>
          <w:color w:val="1C283D"/>
        </w:rPr>
        <w:t xml:space="preserve"> (1) Bu Yönetmelikte geçen;</w:t>
      </w:r>
    </w:p>
    <w:p w:rsidR="00D61D18" w:rsidRDefault="00D61D18" w:rsidP="00D61D18">
      <w:pPr>
        <w:spacing w:line="240" w:lineRule="atLeast"/>
        <w:ind w:firstLine="567"/>
        <w:jc w:val="both"/>
        <w:rPr>
          <w:color w:val="1C283D"/>
        </w:rPr>
      </w:pPr>
      <w:r>
        <w:rPr>
          <w:color w:val="1C283D"/>
        </w:rPr>
        <w:t>a) Bakanlıklar: Gıda, Tarım ve Hayvancılık, İçişleri, Milli Eğitim ve Sağlık Bakanlıklarını,</w:t>
      </w:r>
    </w:p>
    <w:p w:rsidR="00D61D18" w:rsidRDefault="00D61D18" w:rsidP="00D61D18">
      <w:pPr>
        <w:spacing w:line="240" w:lineRule="atLeast"/>
        <w:ind w:firstLine="567"/>
        <w:jc w:val="both"/>
        <w:rPr>
          <w:color w:val="1C283D"/>
        </w:rPr>
      </w:pPr>
      <w:r>
        <w:rPr>
          <w:color w:val="1C283D"/>
        </w:rPr>
        <w:t>b) Belge: Hijyen eğitimlerini alan kişilere Genel Müdürlüğe bağlı öğretim kurumlarınca verilen kurs bitirme belgesini,</w:t>
      </w:r>
    </w:p>
    <w:p w:rsidR="00D61D18" w:rsidRDefault="00D61D18" w:rsidP="00D61D18">
      <w:pPr>
        <w:spacing w:line="240" w:lineRule="atLeast"/>
        <w:ind w:firstLine="567"/>
        <w:jc w:val="both"/>
        <w:rPr>
          <w:color w:val="1C283D"/>
        </w:rPr>
      </w:pPr>
      <w:r>
        <w:rPr>
          <w:color w:val="1C283D"/>
        </w:rPr>
        <w:t xml:space="preserve">c) Eğitim: Halk sağlığının korunması amacıyla, her iş koluna uygun olarak verilecek </w:t>
      </w:r>
      <w:proofErr w:type="gramStart"/>
      <w:r>
        <w:rPr>
          <w:color w:val="1C283D"/>
        </w:rPr>
        <w:t>hijyen</w:t>
      </w:r>
      <w:proofErr w:type="gramEnd"/>
      <w:r>
        <w:rPr>
          <w:color w:val="1C283D"/>
        </w:rPr>
        <w:t xml:space="preserve"> eğitimini,</w:t>
      </w:r>
    </w:p>
    <w:p w:rsidR="00D61D18" w:rsidRDefault="00D61D18" w:rsidP="00D61D18">
      <w:pPr>
        <w:spacing w:line="240" w:lineRule="atLeast"/>
        <w:ind w:firstLine="567"/>
        <w:jc w:val="both"/>
        <w:rPr>
          <w:color w:val="1C283D"/>
        </w:rPr>
      </w:pPr>
      <w:r>
        <w:rPr>
          <w:color w:val="1C283D"/>
        </w:rPr>
        <w:t>ç) Genel Müdürlük: Millî Eğitim Bakanlığı Hayat Boyu Öğrenme Genel Müdürlüğünü,</w:t>
      </w:r>
    </w:p>
    <w:p w:rsidR="00D61D18" w:rsidRDefault="00D61D18" w:rsidP="00D61D18">
      <w:pPr>
        <w:spacing w:line="240" w:lineRule="atLeast"/>
        <w:ind w:firstLine="567"/>
        <w:jc w:val="both"/>
        <w:rPr>
          <w:color w:val="1C283D"/>
        </w:rPr>
      </w:pPr>
      <w:r>
        <w:rPr>
          <w:color w:val="1C283D"/>
        </w:rPr>
        <w:t>d) Hijyen: Her iş kolunun özelliğine göre çalışanın kendisinin ve halkın sağlığını tehlikeye sokmayacak biçimde hizmet vermesini sağlamak amacıyla yapılacak uygulamaların ve alınan temizlik önlemlerinin bütününü,</w:t>
      </w:r>
    </w:p>
    <w:p w:rsidR="00D61D18" w:rsidRDefault="00D61D18" w:rsidP="00D61D18">
      <w:pPr>
        <w:spacing w:line="240" w:lineRule="atLeast"/>
        <w:ind w:firstLine="567"/>
        <w:jc w:val="both"/>
        <w:rPr>
          <w:color w:val="1C283D"/>
        </w:rPr>
      </w:pPr>
      <w:r>
        <w:rPr>
          <w:color w:val="1C283D"/>
        </w:rPr>
        <w:t>e) Komisyon: Eğitimleri planlamak üzere Genel Müdürlük bünyesinde oluşturulan komisyonu,</w:t>
      </w:r>
    </w:p>
    <w:p w:rsidR="00D61D18" w:rsidRDefault="00D61D18" w:rsidP="00D61D18">
      <w:pPr>
        <w:spacing w:line="240" w:lineRule="atLeast"/>
        <w:ind w:firstLine="567"/>
        <w:jc w:val="both"/>
        <w:rPr>
          <w:color w:val="1C283D"/>
        </w:rPr>
      </w:pPr>
      <w:proofErr w:type="gramStart"/>
      <w:r>
        <w:rPr>
          <w:color w:val="1C283D"/>
        </w:rPr>
        <w:t>f) Perakende iş yerleri: Ana dağıtım merkezleri, hazır yemek hizmeti, iş yeri ve kurum yemekhaneleri, restoranlar ve diğer benzeri gıda hizmetlerinin sunulduğu yerler, dükkânlar, toptan satış yerleri, süpermarket dağıtım merkezleri dâhil olmak üzere son tüketiciye satış ve dağıtım noktasında gıdanın işlenmesi, muameleye tabi tutulması veya depolanması ve benzeri hizmetlerin verildiği iş yerlerini</w:t>
      </w:r>
      <w:proofErr w:type="gramEnd"/>
    </w:p>
    <w:p w:rsidR="00D61D18" w:rsidRDefault="00D61D18" w:rsidP="00D61D18">
      <w:pPr>
        <w:spacing w:line="240" w:lineRule="atLeast"/>
        <w:ind w:firstLine="567"/>
        <w:jc w:val="both"/>
        <w:rPr>
          <w:color w:val="1C283D"/>
        </w:rPr>
      </w:pPr>
      <w:proofErr w:type="gramStart"/>
      <w:r>
        <w:rPr>
          <w:color w:val="1C283D"/>
        </w:rPr>
        <w:t>ifade</w:t>
      </w:r>
      <w:proofErr w:type="gramEnd"/>
      <w:r>
        <w:rPr>
          <w:color w:val="1C283D"/>
        </w:rPr>
        <w:t xml:space="preserve"> eder.</w:t>
      </w:r>
    </w:p>
    <w:p w:rsidR="00D61D18" w:rsidRDefault="00D61D18" w:rsidP="00D61D18">
      <w:pPr>
        <w:spacing w:line="240" w:lineRule="atLeast"/>
        <w:ind w:firstLine="567"/>
        <w:jc w:val="center"/>
        <w:rPr>
          <w:color w:val="1C283D"/>
        </w:rPr>
      </w:pPr>
      <w:r>
        <w:rPr>
          <w:b/>
          <w:bCs/>
          <w:color w:val="1C283D"/>
        </w:rPr>
        <w:t>İKİNCİ BÖLÜM</w:t>
      </w:r>
    </w:p>
    <w:p w:rsidR="00D61D18" w:rsidRDefault="00D61D18" w:rsidP="00D61D18">
      <w:pPr>
        <w:spacing w:line="240" w:lineRule="atLeast"/>
        <w:ind w:firstLine="567"/>
        <w:jc w:val="center"/>
        <w:rPr>
          <w:color w:val="1C283D"/>
        </w:rPr>
      </w:pPr>
      <w:r>
        <w:rPr>
          <w:b/>
          <w:bCs/>
          <w:color w:val="1C283D"/>
        </w:rPr>
        <w:t>Belge Verilmesi, Hijyen Eğitimi, Komisyon Kurulması ve Eğitimlerin Planlanması</w:t>
      </w:r>
    </w:p>
    <w:p w:rsidR="00D61D18" w:rsidRDefault="00D61D18" w:rsidP="00D61D18">
      <w:pPr>
        <w:spacing w:line="240" w:lineRule="atLeast"/>
        <w:ind w:firstLine="567"/>
        <w:jc w:val="center"/>
        <w:rPr>
          <w:color w:val="1C283D"/>
        </w:rPr>
      </w:pPr>
      <w:r>
        <w:rPr>
          <w:color w:val="1C283D"/>
        </w:rPr>
        <w:t> </w:t>
      </w:r>
    </w:p>
    <w:p w:rsidR="00D61D18" w:rsidRDefault="00D61D18" w:rsidP="00D61D18">
      <w:pPr>
        <w:spacing w:line="240" w:lineRule="atLeast"/>
        <w:ind w:firstLine="567"/>
        <w:jc w:val="both"/>
        <w:rPr>
          <w:color w:val="1C283D"/>
        </w:rPr>
      </w:pPr>
      <w:r>
        <w:rPr>
          <w:b/>
          <w:bCs/>
          <w:color w:val="1C283D"/>
        </w:rPr>
        <w:t>Belge alan kişilerin çalıştırılması</w:t>
      </w:r>
    </w:p>
    <w:p w:rsidR="00D61D18" w:rsidRDefault="00D61D18" w:rsidP="00D61D18">
      <w:pPr>
        <w:spacing w:line="240" w:lineRule="atLeast"/>
        <w:ind w:firstLine="567"/>
        <w:jc w:val="both"/>
        <w:rPr>
          <w:color w:val="1C283D"/>
        </w:rPr>
      </w:pPr>
      <w:r>
        <w:rPr>
          <w:b/>
          <w:bCs/>
          <w:color w:val="1C283D"/>
        </w:rPr>
        <w:t>MADDE 5 –</w:t>
      </w:r>
      <w:r>
        <w:rPr>
          <w:color w:val="1C283D"/>
        </w:rPr>
        <w:t xml:space="preserve"> (1) Bu Yönetmeliğin kapsadığı iş yerlerinde, Genel Müdürlük tarafından verilen belgeye sahip olmayan kişiler çalıştırılamaz. İş yeri sahipleri ve işletenleri, çalışanlarının </w:t>
      </w:r>
      <w:proofErr w:type="gramStart"/>
      <w:r>
        <w:rPr>
          <w:color w:val="1C283D"/>
        </w:rPr>
        <w:t>hijyen</w:t>
      </w:r>
      <w:proofErr w:type="gramEnd"/>
      <w:r>
        <w:rPr>
          <w:color w:val="1C283D"/>
        </w:rPr>
        <w:t xml:space="preserve"> eğitimi </w:t>
      </w:r>
      <w:r>
        <w:rPr>
          <w:color w:val="1C283D"/>
        </w:rPr>
        <w:lastRenderedPageBreak/>
        <w:t>almasından ve belgeli olarak çalıştırılmasından birinci derecede sorumludur. Bizzat çalışmaları durumunda iş yeri sahipleri ve işletenleri de bu eğitimi almaya mecburdur.</w:t>
      </w:r>
    </w:p>
    <w:p w:rsidR="00D61D18" w:rsidRDefault="00D61D18" w:rsidP="00D61D18">
      <w:pPr>
        <w:spacing w:line="240" w:lineRule="atLeast"/>
        <w:ind w:firstLine="567"/>
        <w:jc w:val="both"/>
        <w:rPr>
          <w:color w:val="1C283D"/>
        </w:rPr>
      </w:pPr>
      <w:r>
        <w:rPr>
          <w:b/>
          <w:bCs/>
          <w:color w:val="1C283D"/>
        </w:rPr>
        <w:t>Eğitimlerin veriliş şekli</w:t>
      </w:r>
    </w:p>
    <w:p w:rsidR="00D61D18" w:rsidRDefault="00D61D18" w:rsidP="00D61D18">
      <w:pPr>
        <w:spacing w:line="240" w:lineRule="atLeast"/>
        <w:ind w:firstLine="567"/>
        <w:jc w:val="both"/>
        <w:rPr>
          <w:color w:val="1C283D"/>
        </w:rPr>
      </w:pPr>
      <w:r>
        <w:rPr>
          <w:b/>
          <w:bCs/>
          <w:color w:val="1C283D"/>
        </w:rPr>
        <w:t>MADDE 6 –</w:t>
      </w:r>
      <w:r>
        <w:rPr>
          <w:color w:val="1C283D"/>
        </w:rPr>
        <w:t xml:space="preserve"> (1) Eğitimler, Genel Müdürlüğe bağlı öğretim kurumları tarafından verilir. İş yeri sahipleri ve işletenleri, komisyonca belirlenen usul ve esaslar çerçevesinde bu eğitimleri çalışanlarına kendi imkânlarıyla da verebilir.</w:t>
      </w:r>
    </w:p>
    <w:p w:rsidR="00D61D18" w:rsidRDefault="00D61D18" w:rsidP="00D61D18">
      <w:pPr>
        <w:spacing w:line="240" w:lineRule="atLeast"/>
        <w:ind w:firstLine="567"/>
        <w:jc w:val="both"/>
        <w:rPr>
          <w:color w:val="1C283D"/>
        </w:rPr>
      </w:pPr>
      <w:r>
        <w:rPr>
          <w:color w:val="1C283D"/>
        </w:rPr>
        <w:t>(2) Genel Müdürlük, iş kollarının özelliğine göre komisyonca belirlenen eğitim içeriklerinin eğitim formatına uygun olarak ülke genelinde verilmesini sağlar. Eğitimler sekiz saatten az olamaz.</w:t>
      </w:r>
    </w:p>
    <w:p w:rsidR="00D61D18" w:rsidRDefault="00D61D18" w:rsidP="00D61D18">
      <w:pPr>
        <w:spacing w:line="240" w:lineRule="atLeast"/>
        <w:ind w:firstLine="567"/>
        <w:jc w:val="both"/>
        <w:rPr>
          <w:color w:val="1C283D"/>
        </w:rPr>
      </w:pPr>
      <w:r>
        <w:rPr>
          <w:color w:val="1C283D"/>
        </w:rPr>
        <w:t>(3) Genel Müdürlüğe bağlı öğretim kurumlarınca, katılımcılara eğitim sonunda e-yaygın sistemi üzerinde kurs bitirme belgesi verilir. Belgeler, kişi hizmet verdiği sürece geçerli kabul edilir.</w:t>
      </w:r>
    </w:p>
    <w:p w:rsidR="00D61D18" w:rsidRDefault="00D61D18" w:rsidP="00D61D18">
      <w:pPr>
        <w:spacing w:line="240" w:lineRule="atLeast"/>
        <w:ind w:firstLine="567"/>
        <w:jc w:val="both"/>
        <w:rPr>
          <w:color w:val="1C283D"/>
        </w:rPr>
      </w:pPr>
      <w:r>
        <w:rPr>
          <w:color w:val="1C283D"/>
        </w:rPr>
        <w:t>(4) Genel Müdürlük, eğitim ile ilgili yapacağı masrafları karşılamak üzere eğitime katılanlardan ücret talep edebilir. Kurslarda, uygulama yapılması gerekir ise uygulama sırasında kullanılabilecek şahsi malzemeler katılımcılar tarafından tedarik edilir.</w:t>
      </w:r>
    </w:p>
    <w:p w:rsidR="00D61D18" w:rsidRDefault="00D61D18" w:rsidP="00D61D18">
      <w:pPr>
        <w:spacing w:line="240" w:lineRule="atLeast"/>
        <w:ind w:firstLine="567"/>
        <w:jc w:val="both"/>
        <w:rPr>
          <w:color w:val="1C283D"/>
        </w:rPr>
      </w:pPr>
      <w:r>
        <w:rPr>
          <w:b/>
          <w:bCs/>
          <w:color w:val="1C283D"/>
        </w:rPr>
        <w:t>Komisyon kurulması, komisyonun çalışma usul ve esasları</w:t>
      </w:r>
    </w:p>
    <w:p w:rsidR="00D61D18" w:rsidRDefault="00D61D18" w:rsidP="00D61D18">
      <w:pPr>
        <w:spacing w:line="240" w:lineRule="atLeast"/>
        <w:ind w:firstLine="567"/>
        <w:jc w:val="both"/>
        <w:rPr>
          <w:color w:val="1C283D"/>
        </w:rPr>
      </w:pPr>
      <w:r>
        <w:rPr>
          <w:b/>
          <w:bCs/>
          <w:color w:val="1C283D"/>
        </w:rPr>
        <w:t>MADDE 7 –</w:t>
      </w:r>
      <w:r>
        <w:rPr>
          <w:color w:val="1C283D"/>
        </w:rPr>
        <w:t xml:space="preserve"> (1) Genel Müdürlük bünyesinde, eğitimlerin planlanması için iş kollarının gruplandırmasını yapmak, iş kollarının yapısına uygun olarak eğitimleri planlamak ve iş kollarının durumuna göre eğitim içeriğini belirlemek üzere bir komisyon kurulur.</w:t>
      </w:r>
    </w:p>
    <w:p w:rsidR="00D61D18" w:rsidRDefault="00D61D18" w:rsidP="00D61D18">
      <w:pPr>
        <w:spacing w:line="240" w:lineRule="atLeast"/>
        <w:ind w:firstLine="567"/>
        <w:jc w:val="both"/>
        <w:rPr>
          <w:color w:val="1C283D"/>
        </w:rPr>
      </w:pPr>
      <w:r>
        <w:rPr>
          <w:color w:val="1C283D"/>
        </w:rPr>
        <w:t>(2) Komisyon, Genel Müdürlük tarafından görevlendirilen bir üyenin başkanlığında aşağıdaki üyelerden oluşur:</w:t>
      </w:r>
    </w:p>
    <w:p w:rsidR="00D61D18" w:rsidRDefault="00D61D18" w:rsidP="00D61D18">
      <w:pPr>
        <w:spacing w:line="240" w:lineRule="atLeast"/>
        <w:ind w:firstLine="567"/>
        <w:jc w:val="both"/>
        <w:rPr>
          <w:color w:val="1C283D"/>
        </w:rPr>
      </w:pPr>
      <w:r>
        <w:rPr>
          <w:color w:val="1C283D"/>
        </w:rPr>
        <w:t>a) Bakanlıklarca görevlendirilecek birer üye.</w:t>
      </w:r>
    </w:p>
    <w:p w:rsidR="00D61D18" w:rsidRDefault="00D61D18" w:rsidP="00D61D18">
      <w:pPr>
        <w:spacing w:line="240" w:lineRule="atLeast"/>
        <w:ind w:firstLine="567"/>
        <w:jc w:val="both"/>
        <w:rPr>
          <w:color w:val="1C283D"/>
        </w:rPr>
      </w:pPr>
      <w:r>
        <w:rPr>
          <w:color w:val="1C283D"/>
        </w:rPr>
        <w:t xml:space="preserve">b) Sağlık Bakanlığınca belirlenecek bir tıbbi mikrobiyoloji uzmanı, bir </w:t>
      </w:r>
      <w:proofErr w:type="gramStart"/>
      <w:r>
        <w:rPr>
          <w:color w:val="1C283D"/>
        </w:rPr>
        <w:t>enfeksiyon</w:t>
      </w:r>
      <w:proofErr w:type="gramEnd"/>
      <w:r>
        <w:rPr>
          <w:color w:val="1C283D"/>
        </w:rPr>
        <w:t xml:space="preserve"> hastalıkları ve klinik mikrobiyoloji uzmanı, bir halk sağlığı uzmanı, bir deri ve zührevi hastalıkları uzmanı.</w:t>
      </w:r>
    </w:p>
    <w:p w:rsidR="00D61D18" w:rsidRDefault="00D61D18" w:rsidP="00D61D18">
      <w:pPr>
        <w:spacing w:line="240" w:lineRule="atLeast"/>
        <w:ind w:firstLine="567"/>
        <w:jc w:val="both"/>
        <w:rPr>
          <w:color w:val="1C283D"/>
        </w:rPr>
      </w:pPr>
      <w:r>
        <w:rPr>
          <w:color w:val="1C283D"/>
        </w:rPr>
        <w:t>c) Gıda, Tarım ve Hayvancılık Bakanlığınca belirlenecek bir veteriner hekim ve bir gıda mühendisi/ziraat mühendisi (gıda veya süt bölümü mezunu).</w:t>
      </w:r>
    </w:p>
    <w:p w:rsidR="00D61D18" w:rsidRDefault="00D61D18" w:rsidP="00D61D18">
      <w:pPr>
        <w:spacing w:line="240" w:lineRule="atLeast"/>
        <w:ind w:firstLine="567"/>
        <w:jc w:val="both"/>
        <w:rPr>
          <w:color w:val="1C283D"/>
        </w:rPr>
      </w:pPr>
      <w:r>
        <w:rPr>
          <w:color w:val="1C283D"/>
        </w:rPr>
        <w:t>ç) Türkiye Odalar ve Borsalar Birliği ile Türkiye Esnaf ve Sanatkârları Konfederasyonundan birer temsilci.</w:t>
      </w:r>
    </w:p>
    <w:p w:rsidR="00D61D18" w:rsidRDefault="00D61D18" w:rsidP="00D61D18">
      <w:pPr>
        <w:spacing w:line="240" w:lineRule="atLeast"/>
        <w:ind w:firstLine="567"/>
        <w:jc w:val="both"/>
        <w:rPr>
          <w:color w:val="1C283D"/>
        </w:rPr>
      </w:pPr>
      <w:r>
        <w:rPr>
          <w:color w:val="1C283D"/>
        </w:rPr>
        <w:t>(3) Komisyon, iş kollarının gruplandırmasını yaparak iş koluna göre eğitim konularını ve sürelerini; eğitimlerin, iş yeri sahiplerince veya işletenlerince verilmesi durumunda ise eğitimlere ve belgelendirme işlemlerine ait usul ve esasları belirler.</w:t>
      </w:r>
    </w:p>
    <w:p w:rsidR="00D61D18" w:rsidRDefault="00D61D18" w:rsidP="00D61D18">
      <w:pPr>
        <w:spacing w:line="240" w:lineRule="atLeast"/>
        <w:ind w:firstLine="567"/>
        <w:jc w:val="both"/>
        <w:rPr>
          <w:color w:val="1C283D"/>
        </w:rPr>
      </w:pPr>
      <w:r>
        <w:rPr>
          <w:color w:val="1C283D"/>
        </w:rPr>
        <w:t>(4) Komisyon yılda en az bir kez toplanır. Kararlar, salt çoğunlukla alınır.</w:t>
      </w:r>
    </w:p>
    <w:p w:rsidR="00D61D18" w:rsidRDefault="00D61D18" w:rsidP="00D61D18">
      <w:pPr>
        <w:spacing w:line="240" w:lineRule="atLeast"/>
        <w:ind w:firstLine="567"/>
        <w:jc w:val="both"/>
        <w:rPr>
          <w:color w:val="1C283D"/>
        </w:rPr>
      </w:pPr>
      <w:r>
        <w:rPr>
          <w:color w:val="1C283D"/>
        </w:rPr>
        <w:t>(5) Komisyonun sekretarya hizmetleri Genel Müdürlükçe yürütülür.</w:t>
      </w:r>
    </w:p>
    <w:p w:rsidR="00D61D18" w:rsidRDefault="00D61D18" w:rsidP="00D61D18">
      <w:pPr>
        <w:spacing w:line="240" w:lineRule="atLeast"/>
        <w:ind w:firstLine="567"/>
        <w:jc w:val="both"/>
        <w:rPr>
          <w:color w:val="1C283D"/>
        </w:rPr>
      </w:pPr>
      <w:r>
        <w:rPr>
          <w:b/>
          <w:bCs/>
          <w:color w:val="1C283D"/>
        </w:rPr>
        <w:t>Eğitim konuları</w:t>
      </w:r>
    </w:p>
    <w:p w:rsidR="00D61D18" w:rsidRDefault="00D61D18" w:rsidP="00D61D18">
      <w:pPr>
        <w:spacing w:line="240" w:lineRule="atLeast"/>
        <w:ind w:firstLine="567"/>
        <w:jc w:val="both"/>
        <w:rPr>
          <w:color w:val="1C283D"/>
        </w:rPr>
      </w:pPr>
      <w:r>
        <w:rPr>
          <w:b/>
          <w:bCs/>
          <w:color w:val="1C283D"/>
        </w:rPr>
        <w:t>MADDE 8 –</w:t>
      </w:r>
      <w:r>
        <w:rPr>
          <w:color w:val="1C283D"/>
        </w:rPr>
        <w:t xml:space="preserve"> (1) Eğitimlerin içerikleri, </w:t>
      </w:r>
      <w:proofErr w:type="gramStart"/>
      <w:r>
        <w:rPr>
          <w:color w:val="1C283D"/>
        </w:rPr>
        <w:t>hijyen</w:t>
      </w:r>
      <w:proofErr w:type="gramEnd"/>
      <w:r>
        <w:rPr>
          <w:color w:val="1C283D"/>
        </w:rPr>
        <w:t xml:space="preserve"> ilkelerine uyulmaması sebebiyle halk sağlığı açısından risk oluşturduğu bilinen virüslerin, bakterilerin, parazitlerin, mantarların ve diğer enfeksiyon etkenlerinin genel özelliklerini, bulaşma yollarını, hangi iş kolunda nasıl bulaşmalar olabileceğini veya halk sağlığının nasıl tehdit göreceğini, hastalık belirtilerini ve korunma yollarını ihtiva edecek şekilde komisyonca belirlenir.</w:t>
      </w:r>
    </w:p>
    <w:p w:rsidR="00D61D18" w:rsidRDefault="00D61D18" w:rsidP="00D61D18">
      <w:pPr>
        <w:spacing w:line="240" w:lineRule="atLeast"/>
        <w:ind w:firstLine="567"/>
        <w:jc w:val="both"/>
        <w:rPr>
          <w:color w:val="1C283D"/>
        </w:rPr>
      </w:pPr>
      <w:r>
        <w:rPr>
          <w:color w:val="1C283D"/>
        </w:rPr>
        <w:t xml:space="preserve">(2) Eğitimlerin içeriğinde, iş kolunun özelliğine göre </w:t>
      </w:r>
      <w:proofErr w:type="gramStart"/>
      <w:r>
        <w:rPr>
          <w:color w:val="1C283D"/>
        </w:rPr>
        <w:t>hijyen</w:t>
      </w:r>
      <w:proofErr w:type="gramEnd"/>
      <w:r>
        <w:rPr>
          <w:color w:val="1C283D"/>
        </w:rPr>
        <w:t xml:space="preserve"> ve temizlik ilkeleri ile komisyonca bilgi verilmesinde fayda görülen başka etkenler ve konular da yer alır.</w:t>
      </w:r>
    </w:p>
    <w:p w:rsidR="00D61D18" w:rsidRDefault="00D61D18" w:rsidP="00D61D18">
      <w:pPr>
        <w:spacing w:line="240" w:lineRule="atLeast"/>
        <w:ind w:firstLine="567"/>
        <w:jc w:val="center"/>
        <w:rPr>
          <w:color w:val="1C283D"/>
        </w:rPr>
      </w:pPr>
      <w:r>
        <w:rPr>
          <w:color w:val="1C283D"/>
        </w:rPr>
        <w:t> </w:t>
      </w:r>
    </w:p>
    <w:p w:rsidR="00D61D18" w:rsidRDefault="00D61D18" w:rsidP="00D61D18">
      <w:pPr>
        <w:spacing w:line="240" w:lineRule="atLeast"/>
        <w:ind w:firstLine="567"/>
        <w:jc w:val="center"/>
        <w:rPr>
          <w:color w:val="1C283D"/>
        </w:rPr>
      </w:pPr>
      <w:r>
        <w:rPr>
          <w:b/>
          <w:bCs/>
          <w:color w:val="1C283D"/>
        </w:rPr>
        <w:t>ÜÇÜNCÜ BÖLÜM</w:t>
      </w:r>
    </w:p>
    <w:p w:rsidR="00D61D18" w:rsidRDefault="00D61D18" w:rsidP="00D61D18">
      <w:pPr>
        <w:spacing w:line="240" w:lineRule="atLeast"/>
        <w:ind w:firstLine="567"/>
        <w:jc w:val="center"/>
        <w:rPr>
          <w:color w:val="1C283D"/>
        </w:rPr>
      </w:pPr>
      <w:r>
        <w:rPr>
          <w:b/>
          <w:bCs/>
          <w:color w:val="1C283D"/>
        </w:rPr>
        <w:t>Çeşitli ve Son Hükümler</w:t>
      </w:r>
    </w:p>
    <w:p w:rsidR="00D61D18" w:rsidRDefault="00D61D18" w:rsidP="00D61D18">
      <w:pPr>
        <w:spacing w:line="240" w:lineRule="atLeast"/>
        <w:ind w:firstLine="567"/>
        <w:jc w:val="center"/>
        <w:rPr>
          <w:color w:val="1C283D"/>
        </w:rPr>
      </w:pPr>
      <w:r>
        <w:rPr>
          <w:color w:val="1C283D"/>
        </w:rPr>
        <w:t> </w:t>
      </w:r>
    </w:p>
    <w:p w:rsidR="00D61D18" w:rsidRDefault="00D61D18" w:rsidP="00D61D18">
      <w:pPr>
        <w:spacing w:line="240" w:lineRule="atLeast"/>
        <w:ind w:firstLine="567"/>
        <w:jc w:val="both"/>
        <w:rPr>
          <w:color w:val="1C283D"/>
        </w:rPr>
      </w:pPr>
      <w:r>
        <w:rPr>
          <w:b/>
          <w:bCs/>
          <w:color w:val="1C283D"/>
        </w:rPr>
        <w:t>Çalışmaya engel teşkil eden hastalıklar</w:t>
      </w:r>
    </w:p>
    <w:p w:rsidR="00D61D18" w:rsidRDefault="00D61D18" w:rsidP="00D61D18">
      <w:pPr>
        <w:spacing w:line="240" w:lineRule="atLeast"/>
        <w:ind w:firstLine="567"/>
        <w:jc w:val="both"/>
        <w:rPr>
          <w:color w:val="1C283D"/>
        </w:rPr>
      </w:pPr>
      <w:r>
        <w:rPr>
          <w:b/>
          <w:bCs/>
          <w:color w:val="1C283D"/>
        </w:rPr>
        <w:t>MADDE 9 –</w:t>
      </w:r>
      <w:r>
        <w:rPr>
          <w:color w:val="1C283D"/>
        </w:rPr>
        <w:t xml:space="preserve"> (1) Aşağıda belirtilen hastalıkları bulunanlar iyileşme hâlini/bulaştırıcılığın olmadığını raporla belgeleyene kadar bu Yönetmelik kapsamındaki iş yerlerinde çalışamaz ve çalıştırılamazlar:</w:t>
      </w:r>
    </w:p>
    <w:p w:rsidR="00D61D18" w:rsidRDefault="00D61D18" w:rsidP="00D61D18">
      <w:pPr>
        <w:spacing w:line="240" w:lineRule="atLeast"/>
        <w:ind w:firstLine="567"/>
        <w:jc w:val="both"/>
        <w:rPr>
          <w:color w:val="1C283D"/>
        </w:rPr>
      </w:pPr>
      <w:r>
        <w:rPr>
          <w:color w:val="1C283D"/>
        </w:rPr>
        <w:t>a) Gıda ile taşınabilen bir hastalığı olan veya bu hastalığın taşıyıcısı durumundaki kişiler ile ishali bulunanlar.</w:t>
      </w:r>
    </w:p>
    <w:p w:rsidR="00D61D18" w:rsidRDefault="00D61D18" w:rsidP="00D61D18">
      <w:pPr>
        <w:spacing w:line="240" w:lineRule="atLeast"/>
        <w:ind w:firstLine="567"/>
        <w:jc w:val="both"/>
        <w:rPr>
          <w:color w:val="1C283D"/>
        </w:rPr>
      </w:pPr>
      <w:r>
        <w:rPr>
          <w:color w:val="1C283D"/>
        </w:rPr>
        <w:t>b) Vücudun görünür kısımlarında açık/</w:t>
      </w:r>
      <w:proofErr w:type="spellStart"/>
      <w:r>
        <w:rPr>
          <w:color w:val="1C283D"/>
        </w:rPr>
        <w:t>enfekte</w:t>
      </w:r>
      <w:proofErr w:type="spellEnd"/>
      <w:r>
        <w:rPr>
          <w:color w:val="1C283D"/>
        </w:rPr>
        <w:t xml:space="preserve"> yara, deri </w:t>
      </w:r>
      <w:proofErr w:type="gramStart"/>
      <w:r>
        <w:rPr>
          <w:color w:val="1C283D"/>
        </w:rPr>
        <w:t>enfeksiyonu</w:t>
      </w:r>
      <w:proofErr w:type="gramEnd"/>
      <w:r>
        <w:rPr>
          <w:color w:val="1C283D"/>
        </w:rPr>
        <w:t xml:space="preserve"> ve benzeri halkta tiksintiye yol açabilecek deri lezyonları bulunanlar; cüzzam, frengi ve verem hastalığına yakalananlar.</w:t>
      </w:r>
    </w:p>
    <w:p w:rsidR="00D61D18" w:rsidRDefault="00D61D18" w:rsidP="00D61D18">
      <w:pPr>
        <w:spacing w:line="240" w:lineRule="atLeast"/>
        <w:ind w:firstLine="567"/>
        <w:jc w:val="both"/>
        <w:rPr>
          <w:color w:val="1C283D"/>
        </w:rPr>
      </w:pPr>
      <w:r>
        <w:rPr>
          <w:color w:val="1C283D"/>
        </w:rPr>
        <w:lastRenderedPageBreak/>
        <w:t xml:space="preserve">c) 30/5/2007 tarihli ve 26537 sayılı Resmî </w:t>
      </w:r>
      <w:proofErr w:type="spellStart"/>
      <w:r>
        <w:rPr>
          <w:color w:val="1C283D"/>
        </w:rPr>
        <w:t>Gazete’de</w:t>
      </w:r>
      <w:proofErr w:type="spellEnd"/>
      <w:r>
        <w:rPr>
          <w:color w:val="1C283D"/>
        </w:rPr>
        <w:t xml:space="preserve"> yayımlanan Bulaşıcı Hastalıklar </w:t>
      </w:r>
      <w:proofErr w:type="spellStart"/>
      <w:r>
        <w:rPr>
          <w:color w:val="1C283D"/>
        </w:rPr>
        <w:t>Sürveyans</w:t>
      </w:r>
      <w:proofErr w:type="spellEnd"/>
      <w:r>
        <w:rPr>
          <w:color w:val="1C283D"/>
        </w:rPr>
        <w:t xml:space="preserve"> ve Kontrol Esasları Yönetmeliğinde yer alan, </w:t>
      </w:r>
      <w:proofErr w:type="gramStart"/>
      <w:r>
        <w:rPr>
          <w:color w:val="1C283D"/>
        </w:rPr>
        <w:t>hijyen</w:t>
      </w:r>
      <w:proofErr w:type="gramEnd"/>
      <w:r>
        <w:rPr>
          <w:color w:val="1C283D"/>
        </w:rPr>
        <w:t xml:space="preserve"> ilkelerine uyulmadığı durumlarda halk sağlığı açısından problem oluşturabilecek hastalığı bulunanlar.</w:t>
      </w:r>
    </w:p>
    <w:p w:rsidR="00D61D18" w:rsidRDefault="00D61D18" w:rsidP="00D61D18">
      <w:pPr>
        <w:spacing w:line="240" w:lineRule="atLeast"/>
        <w:ind w:firstLine="567"/>
        <w:jc w:val="both"/>
        <w:rPr>
          <w:color w:val="1C283D"/>
        </w:rPr>
      </w:pPr>
      <w:r>
        <w:rPr>
          <w:color w:val="1C283D"/>
        </w:rPr>
        <w:t>(2) Çalışanlar, hastalıkları konusunda işverene bilgi vermekle yükümlüdür.</w:t>
      </w:r>
    </w:p>
    <w:p w:rsidR="00D61D18" w:rsidRDefault="00D61D18" w:rsidP="00D61D18">
      <w:pPr>
        <w:spacing w:line="240" w:lineRule="atLeast"/>
        <w:ind w:firstLine="567"/>
        <w:jc w:val="both"/>
        <w:rPr>
          <w:color w:val="1C283D"/>
        </w:rPr>
      </w:pPr>
      <w:r>
        <w:rPr>
          <w:b/>
          <w:bCs/>
          <w:color w:val="1C283D"/>
        </w:rPr>
        <w:t>İyileşme hâlinin belirlenmesi</w:t>
      </w:r>
    </w:p>
    <w:p w:rsidR="00D61D18" w:rsidRDefault="00D61D18" w:rsidP="00D61D18">
      <w:pPr>
        <w:spacing w:line="240" w:lineRule="atLeast"/>
        <w:ind w:firstLine="567"/>
        <w:jc w:val="both"/>
        <w:rPr>
          <w:color w:val="1C283D"/>
        </w:rPr>
      </w:pPr>
      <w:r>
        <w:rPr>
          <w:b/>
          <w:bCs/>
          <w:color w:val="1C283D"/>
        </w:rPr>
        <w:t>MADDE 10 –</w:t>
      </w:r>
      <w:r>
        <w:rPr>
          <w:color w:val="1C283D"/>
        </w:rPr>
        <w:t xml:space="preserve"> (1) Bu Yönetmelik kapsamında bulunan iş yerlerinde çalışmaya engel hastalığı bulunanlar, hastalıklarının iyileştiğini/bulaştırıcılığın olmadığını gösteren tabip/uzman tabip raporunu ibraz etmeleri durumunda çalışabilir veya çalıştırılabilirler.</w:t>
      </w:r>
    </w:p>
    <w:p w:rsidR="00D61D18" w:rsidRDefault="00D61D18" w:rsidP="00D61D18">
      <w:pPr>
        <w:spacing w:line="240" w:lineRule="atLeast"/>
        <w:ind w:firstLine="567"/>
        <w:jc w:val="both"/>
        <w:rPr>
          <w:color w:val="1C283D"/>
        </w:rPr>
      </w:pPr>
      <w:r>
        <w:rPr>
          <w:b/>
          <w:bCs/>
          <w:color w:val="1C283D"/>
        </w:rPr>
        <w:t>Denetim ve müeyyideler</w:t>
      </w:r>
    </w:p>
    <w:p w:rsidR="00D61D18" w:rsidRDefault="00D61D18" w:rsidP="00D61D18">
      <w:pPr>
        <w:spacing w:line="240" w:lineRule="atLeast"/>
        <w:ind w:firstLine="567"/>
        <w:jc w:val="both"/>
        <w:rPr>
          <w:color w:val="1C283D"/>
        </w:rPr>
      </w:pPr>
      <w:r>
        <w:rPr>
          <w:b/>
          <w:bCs/>
          <w:color w:val="1C283D"/>
        </w:rPr>
        <w:t>MADDE 11 –</w:t>
      </w:r>
      <w:r>
        <w:rPr>
          <w:color w:val="1C283D"/>
        </w:rPr>
        <w:t xml:space="preserve"> (1) Her iş kolunun izin, onay, kayıt, ruhsatlandırma ve benzeri hizmetlerini yürüten Bakanlık veya mahalli idare, bu Yönetmelikte belirtilen iş yerlerinin, 5 inci, 9 uncu ve 10 uncu maddelerde belirtilen yükümlülükleri yerine getirip getirmediğini denetler. Bu maddelerde belirtilen yükümlülükleri yerine getirmeyenler hakkında, durumu bu maddelere uygun bulunmayan çalışanların her biri ayrı ayrı aykırılıklar olarak değerlendirilir ve 1593 sayılı Umumi Hıfzıssıhha Kanununun 282 </w:t>
      </w:r>
      <w:proofErr w:type="spellStart"/>
      <w:r>
        <w:rPr>
          <w:color w:val="1C283D"/>
        </w:rPr>
        <w:t>nci</w:t>
      </w:r>
      <w:proofErr w:type="spellEnd"/>
      <w:r>
        <w:rPr>
          <w:color w:val="1C283D"/>
        </w:rPr>
        <w:t xml:space="preserve"> maddesine göre işlem yapılır.</w:t>
      </w:r>
    </w:p>
    <w:p w:rsidR="00D61D18" w:rsidRDefault="00D61D18" w:rsidP="00D61D18">
      <w:pPr>
        <w:spacing w:line="240" w:lineRule="atLeast"/>
        <w:ind w:firstLine="567"/>
        <w:jc w:val="both"/>
        <w:rPr>
          <w:color w:val="1C283D"/>
        </w:rPr>
      </w:pPr>
      <w:r>
        <w:rPr>
          <w:b/>
          <w:bCs/>
          <w:color w:val="1C283D"/>
        </w:rPr>
        <w:t>Eğitim hazırlık süreci</w:t>
      </w:r>
    </w:p>
    <w:p w:rsidR="00D61D18" w:rsidRDefault="00D61D18" w:rsidP="00D61D18">
      <w:pPr>
        <w:spacing w:line="240" w:lineRule="atLeast"/>
        <w:ind w:firstLine="567"/>
        <w:jc w:val="both"/>
        <w:rPr>
          <w:color w:val="1C283D"/>
        </w:rPr>
      </w:pPr>
      <w:r>
        <w:rPr>
          <w:b/>
          <w:bCs/>
          <w:color w:val="1C283D"/>
        </w:rPr>
        <w:t>GEÇİCİ MADDE 1 –</w:t>
      </w:r>
      <w:r>
        <w:rPr>
          <w:color w:val="1C283D"/>
        </w:rPr>
        <w:t xml:space="preserve"> (1) Bu Yönetmelik kapsamında bulunan iş yerlerinin sahipleri ve işletenleri, Yönetmelik yürürlüğe girdikten sonraki bir yıl içinde çalışanlarının Yönetmelikte belirtilen eğitimleri almalarını sağlar.</w:t>
      </w:r>
    </w:p>
    <w:p w:rsidR="00D61D18" w:rsidRDefault="00D61D18" w:rsidP="00D61D18">
      <w:pPr>
        <w:spacing w:line="240" w:lineRule="atLeast"/>
        <w:ind w:firstLine="567"/>
        <w:jc w:val="both"/>
        <w:rPr>
          <w:color w:val="1C283D"/>
        </w:rPr>
      </w:pPr>
      <w:r>
        <w:rPr>
          <w:b/>
          <w:bCs/>
          <w:color w:val="1C283D"/>
        </w:rPr>
        <w:t>Yürürlük</w:t>
      </w:r>
    </w:p>
    <w:p w:rsidR="00D61D18" w:rsidRDefault="00D61D18" w:rsidP="00D61D18">
      <w:pPr>
        <w:spacing w:line="240" w:lineRule="atLeast"/>
        <w:ind w:firstLine="567"/>
        <w:jc w:val="both"/>
        <w:rPr>
          <w:color w:val="1C283D"/>
        </w:rPr>
      </w:pPr>
      <w:r>
        <w:rPr>
          <w:b/>
          <w:bCs/>
          <w:color w:val="1C283D"/>
        </w:rPr>
        <w:t>MADDE 12 –</w:t>
      </w:r>
      <w:r>
        <w:rPr>
          <w:color w:val="1C283D"/>
        </w:rPr>
        <w:t xml:space="preserve"> (1) Bu Yönetmelik yayımı tarihinde yürürlüğe girer.</w:t>
      </w:r>
    </w:p>
    <w:p w:rsidR="00D61D18" w:rsidRDefault="00D61D18" w:rsidP="00D61D18">
      <w:pPr>
        <w:spacing w:line="240" w:lineRule="atLeast"/>
        <w:ind w:firstLine="567"/>
        <w:jc w:val="both"/>
        <w:rPr>
          <w:color w:val="1C283D"/>
        </w:rPr>
      </w:pPr>
      <w:r>
        <w:rPr>
          <w:b/>
          <w:bCs/>
          <w:color w:val="1C283D"/>
        </w:rPr>
        <w:t>Yürütme</w:t>
      </w:r>
    </w:p>
    <w:p w:rsidR="00D61D18" w:rsidRDefault="00D61D18" w:rsidP="00D61D18">
      <w:pPr>
        <w:spacing w:line="240" w:lineRule="atLeast"/>
        <w:ind w:firstLine="567"/>
        <w:jc w:val="both"/>
        <w:rPr>
          <w:color w:val="1C283D"/>
        </w:rPr>
      </w:pPr>
      <w:r>
        <w:rPr>
          <w:b/>
          <w:bCs/>
          <w:color w:val="1C283D"/>
        </w:rPr>
        <w:t>MADDE 13 –</w:t>
      </w:r>
      <w:r>
        <w:rPr>
          <w:color w:val="1C283D"/>
        </w:rPr>
        <w:t xml:space="preserve"> (1) Bu Yönetmelik hükümlerini Gıda, Tarım ve Hayvancılık, İçişleri ve Sağlık Bakanları yürütür.</w:t>
      </w:r>
    </w:p>
    <w:p w:rsidR="002C3C3A" w:rsidRDefault="00D61D18" w:rsidP="00D61D18">
      <w:r>
        <w:rPr>
          <w:color w:val="1C283D"/>
        </w:rPr>
        <w:t> </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18"/>
    <w:rsid w:val="00880D51"/>
    <w:rsid w:val="00A22235"/>
    <w:rsid w:val="00D61D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9013F-E6E3-4E3D-B43E-7889632D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D18"/>
    <w:pPr>
      <w:spacing w:after="0" w:line="240"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47454">
      <w:bodyDiv w:val="1"/>
      <w:marLeft w:val="0"/>
      <w:marRight w:val="0"/>
      <w:marTop w:val="0"/>
      <w:marBottom w:val="0"/>
      <w:divBdr>
        <w:top w:val="none" w:sz="0" w:space="0" w:color="auto"/>
        <w:left w:val="none" w:sz="0" w:space="0" w:color="auto"/>
        <w:bottom w:val="none" w:sz="0" w:space="0" w:color="auto"/>
        <w:right w:val="none" w:sz="0" w:space="0" w:color="auto"/>
      </w:divBdr>
      <w:divsChild>
        <w:div w:id="1030882745">
          <w:marLeft w:val="0"/>
          <w:marRight w:val="0"/>
          <w:marTop w:val="100"/>
          <w:marBottom w:val="100"/>
          <w:divBdr>
            <w:top w:val="none" w:sz="0" w:space="0" w:color="auto"/>
            <w:left w:val="none" w:sz="0" w:space="0" w:color="auto"/>
            <w:bottom w:val="none" w:sz="0" w:space="0" w:color="auto"/>
            <w:right w:val="none" w:sz="0" w:space="0" w:color="auto"/>
          </w:divBdr>
          <w:divsChild>
            <w:div w:id="621693288">
              <w:marLeft w:val="0"/>
              <w:marRight w:val="0"/>
              <w:marTop w:val="0"/>
              <w:marBottom w:val="0"/>
              <w:divBdr>
                <w:top w:val="none" w:sz="0" w:space="0" w:color="auto"/>
                <w:left w:val="none" w:sz="0" w:space="0" w:color="auto"/>
                <w:bottom w:val="none" w:sz="0" w:space="0" w:color="auto"/>
                <w:right w:val="none" w:sz="0" w:space="0" w:color="auto"/>
              </w:divBdr>
              <w:divsChild>
                <w:div w:id="1376856885">
                  <w:marLeft w:val="0"/>
                  <w:marRight w:val="0"/>
                  <w:marTop w:val="0"/>
                  <w:marBottom w:val="0"/>
                  <w:divBdr>
                    <w:top w:val="none" w:sz="0" w:space="0" w:color="auto"/>
                    <w:left w:val="none" w:sz="0" w:space="0" w:color="auto"/>
                    <w:bottom w:val="none" w:sz="0" w:space="0" w:color="auto"/>
                    <w:right w:val="none" w:sz="0" w:space="0" w:color="auto"/>
                  </w:divBdr>
                  <w:divsChild>
                    <w:div w:id="10190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2017-01-13T10:42:00Z</dcterms:created>
  <dcterms:modified xsi:type="dcterms:W3CDTF">2017-01-13T10:42:00Z</dcterms:modified>
</cp:coreProperties>
</file>